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bookmarkStart w:id="7" w:name="_GoBack"/>
      <w:bookmarkEnd w:id="7"/>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CT-SJ-2020010-3</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六</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常州凤凰新城建设发展有限公司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CT-SJ-2020010-3</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17439.71</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常州凤凰新城建设发展有限公司废旧物资处理项目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3</w:t>
      </w:r>
      <w:r>
        <w:rPr>
          <w:rFonts w:hint="eastAsia" w:cs="宋体" w:asciiTheme="minorEastAsia" w:hAnsiTheme="minorEastAsia" w:eastAsiaTheme="minorEastAsia"/>
          <w:b/>
          <w:bCs/>
          <w:szCs w:val="21"/>
        </w:rPr>
        <w:t>日</w:t>
      </w:r>
      <w:r>
        <w:rPr>
          <w:rFonts w:hint="eastAsia" w:cs="宋体" w:asciiTheme="minorEastAsia" w:hAnsiTheme="minorEastAsia" w:eastAsiaTheme="minorEastAsia"/>
          <w:b/>
          <w:bCs/>
          <w:kern w:val="0"/>
          <w:szCs w:val="21"/>
        </w:rPr>
        <w:t>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6</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8</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9</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6</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9</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0000FF"/>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常州凤凰新城建设发展有限公司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17439.71</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bookmarkStart w:id="2" w:name="_Toc17538137"/>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评估</w:t>
            </w:r>
            <w:r>
              <w:rPr>
                <w:rFonts w:hint="eastAsia" w:ascii="宋体" w:hAnsi="宋体" w:eastAsia="宋体" w:cs="宋体"/>
                <w:i w:val="0"/>
                <w:color w:val="000000"/>
                <w:kern w:val="0"/>
                <w:sz w:val="21"/>
                <w:szCs w:val="21"/>
                <w:u w:val="none"/>
                <w:lang w:val="en-US" w:eastAsia="zh-CN" w:bidi="ar"/>
              </w:rPr>
              <w:t>价值</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26820.00</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lang w:eastAsia="zh-CN"/>
        </w:rPr>
      </w:pPr>
      <w:r>
        <w:rPr>
          <w:rFonts w:hint="eastAsia" w:ascii="宋体" w:hAnsi="宋体" w:cs="宋体"/>
          <w:b/>
          <w:szCs w:val="21"/>
          <w:lang w:eastAsia="zh-CN"/>
        </w:rPr>
        <w:t>四轮电瓶车照片：</w:t>
      </w:r>
      <w:r>
        <w:rPr>
          <w:rFonts w:hint="eastAsia" w:ascii="宋体" w:hAnsi="宋体" w:cs="宋体"/>
          <w:b/>
          <w:szCs w:val="21"/>
          <w:lang w:eastAsia="zh-CN"/>
        </w:rPr>
        <w:drawing>
          <wp:anchor distT="0" distB="0" distL="114300" distR="114300" simplePos="0" relativeHeight="251667456" behindDoc="0" locked="0" layoutInCell="1" allowOverlap="1">
            <wp:simplePos x="0" y="0"/>
            <wp:positionH relativeFrom="column">
              <wp:posOffset>307340</wp:posOffset>
            </wp:positionH>
            <wp:positionV relativeFrom="page">
              <wp:posOffset>6092190</wp:posOffset>
            </wp:positionV>
            <wp:extent cx="1818640" cy="1508125"/>
            <wp:effectExtent l="0" t="0" r="10160" b="15875"/>
            <wp:wrapTopAndBottom/>
            <wp:docPr id="2" name="图片 2" descr="00c0ceea6517a7340b9e62c18d2b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c0ceea6517a7340b9e62c18d2bade"/>
                    <pic:cNvPicPr>
                      <a:picLocks noChangeAspect="1"/>
                    </pic:cNvPicPr>
                  </pic:nvPicPr>
                  <pic:blipFill>
                    <a:blip r:embed="rId9"/>
                    <a:srcRect l="13740" t="11313" r="199"/>
                    <a:stretch>
                      <a:fillRect/>
                    </a:stretch>
                  </pic:blipFill>
                  <pic:spPr>
                    <a:xfrm>
                      <a:off x="0" y="0"/>
                      <a:ext cx="1818640"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常州凤凰新城建设发展有限公司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285B28"/>
    <w:rsid w:val="039B6C90"/>
    <w:rsid w:val="04BA3309"/>
    <w:rsid w:val="06CC4252"/>
    <w:rsid w:val="06DA475A"/>
    <w:rsid w:val="087F47E5"/>
    <w:rsid w:val="08A12AB2"/>
    <w:rsid w:val="08BC42DC"/>
    <w:rsid w:val="096C6861"/>
    <w:rsid w:val="09972F5A"/>
    <w:rsid w:val="09D36C0B"/>
    <w:rsid w:val="09ED7DA6"/>
    <w:rsid w:val="0A515726"/>
    <w:rsid w:val="0B7633DA"/>
    <w:rsid w:val="0BD854DC"/>
    <w:rsid w:val="0BFD44F1"/>
    <w:rsid w:val="0C317CA4"/>
    <w:rsid w:val="0C70747D"/>
    <w:rsid w:val="0CAC2FC6"/>
    <w:rsid w:val="0D162417"/>
    <w:rsid w:val="0E2608D5"/>
    <w:rsid w:val="0F322664"/>
    <w:rsid w:val="0FA05681"/>
    <w:rsid w:val="103F0363"/>
    <w:rsid w:val="11776E55"/>
    <w:rsid w:val="12593AFE"/>
    <w:rsid w:val="12614B9E"/>
    <w:rsid w:val="12FB4F48"/>
    <w:rsid w:val="150D3091"/>
    <w:rsid w:val="15915F08"/>
    <w:rsid w:val="15991E74"/>
    <w:rsid w:val="159D6A00"/>
    <w:rsid w:val="15FC12E8"/>
    <w:rsid w:val="179B5C78"/>
    <w:rsid w:val="18A77265"/>
    <w:rsid w:val="199F46BA"/>
    <w:rsid w:val="19EC0866"/>
    <w:rsid w:val="19F7612E"/>
    <w:rsid w:val="1B781A1B"/>
    <w:rsid w:val="1BB81042"/>
    <w:rsid w:val="1C7D44D3"/>
    <w:rsid w:val="1E215DCA"/>
    <w:rsid w:val="1F083496"/>
    <w:rsid w:val="21B260A0"/>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7F71163"/>
    <w:rsid w:val="38A33422"/>
    <w:rsid w:val="3A391001"/>
    <w:rsid w:val="3A683F74"/>
    <w:rsid w:val="3AA00DB7"/>
    <w:rsid w:val="3B593505"/>
    <w:rsid w:val="3B6B7430"/>
    <w:rsid w:val="3B961EA9"/>
    <w:rsid w:val="3CEB5634"/>
    <w:rsid w:val="3D1772FD"/>
    <w:rsid w:val="3FCC3113"/>
    <w:rsid w:val="41177AA2"/>
    <w:rsid w:val="41B2693D"/>
    <w:rsid w:val="41B320B5"/>
    <w:rsid w:val="421C62B5"/>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4F65348C"/>
    <w:rsid w:val="50472464"/>
    <w:rsid w:val="505E7152"/>
    <w:rsid w:val="520E46AC"/>
    <w:rsid w:val="523D1EB8"/>
    <w:rsid w:val="52903359"/>
    <w:rsid w:val="52DE03D0"/>
    <w:rsid w:val="53600B76"/>
    <w:rsid w:val="53F83899"/>
    <w:rsid w:val="54440533"/>
    <w:rsid w:val="544E3580"/>
    <w:rsid w:val="545322CE"/>
    <w:rsid w:val="545813BB"/>
    <w:rsid w:val="55F340B3"/>
    <w:rsid w:val="56331C83"/>
    <w:rsid w:val="567F301E"/>
    <w:rsid w:val="569E332E"/>
    <w:rsid w:val="5761479E"/>
    <w:rsid w:val="588A0C4C"/>
    <w:rsid w:val="58C20A0C"/>
    <w:rsid w:val="590E0F50"/>
    <w:rsid w:val="59C0298D"/>
    <w:rsid w:val="5A023EDB"/>
    <w:rsid w:val="5A1617D8"/>
    <w:rsid w:val="5B3A7B0B"/>
    <w:rsid w:val="5BD8106D"/>
    <w:rsid w:val="5C62294F"/>
    <w:rsid w:val="5C8F5897"/>
    <w:rsid w:val="5CD72111"/>
    <w:rsid w:val="5D483CA3"/>
    <w:rsid w:val="5E1273DD"/>
    <w:rsid w:val="5E830CD9"/>
    <w:rsid w:val="60753A76"/>
    <w:rsid w:val="60DF5A91"/>
    <w:rsid w:val="61B4664A"/>
    <w:rsid w:val="62E16075"/>
    <w:rsid w:val="63CE5BD8"/>
    <w:rsid w:val="63EC4082"/>
    <w:rsid w:val="64A45612"/>
    <w:rsid w:val="650D5CCE"/>
    <w:rsid w:val="65936198"/>
    <w:rsid w:val="65DA1B4C"/>
    <w:rsid w:val="66386AF2"/>
    <w:rsid w:val="68AD50AB"/>
    <w:rsid w:val="699318F8"/>
    <w:rsid w:val="6AD82745"/>
    <w:rsid w:val="6C0B5105"/>
    <w:rsid w:val="6C1073C6"/>
    <w:rsid w:val="6C6F53D6"/>
    <w:rsid w:val="6C852030"/>
    <w:rsid w:val="6D7762B5"/>
    <w:rsid w:val="6E127821"/>
    <w:rsid w:val="6E160DD1"/>
    <w:rsid w:val="6E31728C"/>
    <w:rsid w:val="6E4A5E57"/>
    <w:rsid w:val="6F2864C4"/>
    <w:rsid w:val="6F2E2543"/>
    <w:rsid w:val="70233EF2"/>
    <w:rsid w:val="70ED5925"/>
    <w:rsid w:val="71084E8C"/>
    <w:rsid w:val="71095ADF"/>
    <w:rsid w:val="71D06A81"/>
    <w:rsid w:val="72DA110C"/>
    <w:rsid w:val="730E2F2E"/>
    <w:rsid w:val="73C05AB8"/>
    <w:rsid w:val="73E0342F"/>
    <w:rsid w:val="74581677"/>
    <w:rsid w:val="74AA0671"/>
    <w:rsid w:val="755E3DD1"/>
    <w:rsid w:val="756141E1"/>
    <w:rsid w:val="793C2F5E"/>
    <w:rsid w:val="7A3A2B69"/>
    <w:rsid w:val="7A675F99"/>
    <w:rsid w:val="7AE9060C"/>
    <w:rsid w:val="7B9C3A54"/>
    <w:rsid w:val="7C8A13C1"/>
    <w:rsid w:val="7CE10995"/>
    <w:rsid w:val="7CEA71E1"/>
    <w:rsid w:val="7E4A0E28"/>
    <w:rsid w:val="7F0024D3"/>
    <w:rsid w:val="7F6B7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2020-06-03T07:48:06Z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